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B2" w:rsidRPr="00EB433E" w:rsidRDefault="001605B2">
      <w:pPr>
        <w:rPr>
          <w:rFonts w:ascii="仿宋_GB2312" w:eastAsia="仿宋_GB2312"/>
          <w:sz w:val="28"/>
        </w:rPr>
      </w:pPr>
      <w:r w:rsidRPr="00EB433E">
        <w:rPr>
          <w:rFonts w:ascii="仿宋_GB2312" w:eastAsia="仿宋_GB2312" w:hint="eastAsia"/>
          <w:sz w:val="28"/>
        </w:rPr>
        <w:t>附件3</w:t>
      </w:r>
    </w:p>
    <w:p w:rsidR="00485C21" w:rsidRPr="00EB433E" w:rsidRDefault="001605B2" w:rsidP="00EB433E">
      <w:pPr>
        <w:jc w:val="center"/>
        <w:rPr>
          <w:rFonts w:ascii="方正大标宋简体" w:eastAsia="方正大标宋简体"/>
          <w:sz w:val="28"/>
        </w:rPr>
      </w:pPr>
      <w:r w:rsidRPr="00EB433E">
        <w:rPr>
          <w:rFonts w:ascii="方正大标宋简体" w:eastAsia="方正大标宋简体" w:hint="eastAsia"/>
          <w:sz w:val="28"/>
        </w:rPr>
        <w:t>武汉科技大学“专创融合”课程建设立项评分表</w:t>
      </w:r>
    </w:p>
    <w:tbl>
      <w:tblPr>
        <w:tblStyle w:val="a3"/>
        <w:tblW w:w="10834" w:type="dxa"/>
        <w:jc w:val="center"/>
        <w:tblLayout w:type="fixed"/>
        <w:tblLook w:val="04A0" w:firstRow="1" w:lastRow="0" w:firstColumn="1" w:lastColumn="0" w:noHBand="0" w:noVBand="1"/>
      </w:tblPr>
      <w:tblGrid>
        <w:gridCol w:w="1195"/>
        <w:gridCol w:w="1843"/>
        <w:gridCol w:w="6095"/>
        <w:gridCol w:w="993"/>
        <w:gridCol w:w="708"/>
      </w:tblGrid>
      <w:tr w:rsidR="00BC2680" w:rsidRPr="006C2D09" w:rsidTr="006C3188">
        <w:trPr>
          <w:jc w:val="center"/>
        </w:trPr>
        <w:tc>
          <w:tcPr>
            <w:tcW w:w="1195" w:type="dxa"/>
            <w:vAlign w:val="center"/>
          </w:tcPr>
          <w:p w:rsidR="00A70819" w:rsidRPr="00852C0B" w:rsidRDefault="006452BA" w:rsidP="00E158D4">
            <w:pPr>
              <w:spacing w:line="276" w:lineRule="auto"/>
              <w:jc w:val="center"/>
              <w:rPr>
                <w:rFonts w:ascii="仿宋_GB2312" w:eastAsia="仿宋_GB2312" w:hAnsiTheme="majorEastAsia" w:cs="仿宋"/>
                <w:b/>
                <w:sz w:val="24"/>
                <w:szCs w:val="30"/>
              </w:rPr>
            </w:pPr>
            <w:r w:rsidRPr="00852C0B">
              <w:rPr>
                <w:rFonts w:ascii="仿宋_GB2312" w:eastAsia="仿宋_GB2312" w:hAnsiTheme="majorEastAsia" w:cs="仿宋" w:hint="eastAsia"/>
                <w:b/>
                <w:sz w:val="24"/>
                <w:szCs w:val="30"/>
              </w:rPr>
              <w:t>一级指标</w:t>
            </w:r>
          </w:p>
        </w:tc>
        <w:tc>
          <w:tcPr>
            <w:tcW w:w="1843" w:type="dxa"/>
            <w:vAlign w:val="center"/>
          </w:tcPr>
          <w:p w:rsidR="00A70819" w:rsidRPr="00852C0B" w:rsidRDefault="006452BA" w:rsidP="00E158D4">
            <w:pPr>
              <w:snapToGrid w:val="0"/>
              <w:spacing w:line="276" w:lineRule="auto"/>
              <w:jc w:val="center"/>
              <w:rPr>
                <w:rFonts w:ascii="仿宋_GB2312" w:eastAsia="仿宋_GB2312" w:hAnsiTheme="minorEastAsia"/>
                <w:b/>
                <w:sz w:val="24"/>
                <w:szCs w:val="30"/>
              </w:rPr>
            </w:pPr>
            <w:r w:rsidRPr="00852C0B">
              <w:rPr>
                <w:rFonts w:ascii="仿宋_GB2312" w:eastAsia="仿宋_GB2312" w:hAnsiTheme="minorEastAsia"/>
                <w:b/>
                <w:sz w:val="24"/>
                <w:szCs w:val="30"/>
              </w:rPr>
              <w:t>二级指标</w:t>
            </w:r>
          </w:p>
        </w:tc>
        <w:tc>
          <w:tcPr>
            <w:tcW w:w="6095" w:type="dxa"/>
            <w:vAlign w:val="center"/>
          </w:tcPr>
          <w:p w:rsidR="00A70819" w:rsidRPr="00852C0B" w:rsidRDefault="006452BA" w:rsidP="00E158D4">
            <w:pPr>
              <w:snapToGrid w:val="0"/>
              <w:spacing w:line="276" w:lineRule="auto"/>
              <w:jc w:val="center"/>
              <w:rPr>
                <w:rFonts w:ascii="仿宋_GB2312" w:eastAsia="仿宋_GB2312" w:hAnsiTheme="minorEastAsia"/>
                <w:b/>
                <w:sz w:val="24"/>
                <w:szCs w:val="30"/>
              </w:rPr>
            </w:pPr>
            <w:r w:rsidRPr="00852C0B">
              <w:rPr>
                <w:rFonts w:ascii="仿宋_GB2312" w:eastAsia="仿宋_GB2312" w:hAnsiTheme="minorEastAsia"/>
                <w:b/>
                <w:sz w:val="24"/>
                <w:szCs w:val="30"/>
              </w:rPr>
              <w:t>指标内涵与评分标准</w:t>
            </w:r>
          </w:p>
        </w:tc>
        <w:tc>
          <w:tcPr>
            <w:tcW w:w="993" w:type="dxa"/>
            <w:vAlign w:val="center"/>
          </w:tcPr>
          <w:p w:rsidR="00A70819" w:rsidRPr="00852C0B" w:rsidRDefault="00A70819" w:rsidP="00E158D4">
            <w:pPr>
              <w:snapToGrid w:val="0"/>
              <w:spacing w:line="276" w:lineRule="auto"/>
              <w:jc w:val="center"/>
              <w:rPr>
                <w:rFonts w:ascii="仿宋_GB2312" w:eastAsia="仿宋_GB2312" w:hAnsiTheme="minorEastAsia"/>
                <w:b/>
                <w:sz w:val="24"/>
                <w:szCs w:val="30"/>
              </w:rPr>
            </w:pPr>
            <w:r w:rsidRPr="00852C0B">
              <w:rPr>
                <w:rFonts w:ascii="仿宋_GB2312" w:eastAsia="仿宋_GB2312" w:hAnsiTheme="minorEastAsia" w:hint="eastAsia"/>
                <w:b/>
                <w:sz w:val="24"/>
                <w:szCs w:val="30"/>
              </w:rPr>
              <w:t>总分值</w:t>
            </w:r>
            <w:r w:rsidR="006C3188" w:rsidRPr="006C3188">
              <w:rPr>
                <w:rFonts w:ascii="仿宋_GB2312" w:eastAsia="仿宋_GB2312" w:hAnsiTheme="minorEastAsia" w:hint="eastAsia"/>
                <w:b/>
                <w:sz w:val="18"/>
                <w:szCs w:val="30"/>
              </w:rPr>
              <w:t>（100分）</w:t>
            </w:r>
          </w:p>
        </w:tc>
        <w:tc>
          <w:tcPr>
            <w:tcW w:w="708" w:type="dxa"/>
            <w:vAlign w:val="center"/>
          </w:tcPr>
          <w:p w:rsidR="00A70819" w:rsidRPr="00852C0B" w:rsidRDefault="00A70819" w:rsidP="00E158D4">
            <w:pPr>
              <w:spacing w:line="276" w:lineRule="auto"/>
              <w:jc w:val="center"/>
              <w:rPr>
                <w:rFonts w:ascii="仿宋_GB2312" w:eastAsia="仿宋_GB2312" w:hAnsiTheme="majorEastAsia" w:cs="仿宋"/>
                <w:b/>
                <w:sz w:val="24"/>
                <w:szCs w:val="30"/>
              </w:rPr>
            </w:pPr>
            <w:r w:rsidRPr="00852C0B">
              <w:rPr>
                <w:rFonts w:ascii="仿宋_GB2312" w:eastAsia="仿宋_GB2312" w:hAnsiTheme="majorEastAsia" w:cs="仿宋" w:hint="eastAsia"/>
                <w:b/>
                <w:sz w:val="24"/>
                <w:szCs w:val="30"/>
              </w:rPr>
              <w:t>得分</w:t>
            </w:r>
          </w:p>
        </w:tc>
      </w:tr>
      <w:tr w:rsidR="00BC2680" w:rsidRPr="00852C0B" w:rsidTr="006C3188">
        <w:trPr>
          <w:jc w:val="center"/>
        </w:trPr>
        <w:tc>
          <w:tcPr>
            <w:tcW w:w="1195" w:type="dxa"/>
            <w:vMerge w:val="restart"/>
            <w:vAlign w:val="center"/>
          </w:tcPr>
          <w:p w:rsidR="0039066D" w:rsidRDefault="000F77C7" w:rsidP="00771CB2">
            <w:pPr>
              <w:spacing w:line="276" w:lineRule="auto"/>
              <w:jc w:val="center"/>
              <w:rPr>
                <w:rFonts w:ascii="仿宋_GB2312" w:eastAsia="仿宋_GB2312" w:hAnsiTheme="majorEastAsia" w:cs="仿宋"/>
                <w:sz w:val="24"/>
                <w:szCs w:val="24"/>
              </w:rPr>
            </w:pPr>
            <w:r w:rsidRPr="00852C0B">
              <w:rPr>
                <w:rFonts w:ascii="仿宋_GB2312" w:eastAsia="仿宋_GB2312" w:hAnsiTheme="majorEastAsia" w:cs="仿宋"/>
                <w:sz w:val="24"/>
                <w:szCs w:val="24"/>
              </w:rPr>
              <w:t>团队</w:t>
            </w:r>
          </w:p>
          <w:p w:rsidR="00200547" w:rsidRDefault="00976438" w:rsidP="00771CB2">
            <w:pPr>
              <w:spacing w:line="276" w:lineRule="auto"/>
              <w:jc w:val="center"/>
              <w:rPr>
                <w:rFonts w:ascii="仿宋_GB2312" w:eastAsia="仿宋_GB2312" w:hAnsiTheme="majorEastAsia" w:cs="仿宋"/>
                <w:sz w:val="24"/>
                <w:szCs w:val="24"/>
              </w:rPr>
            </w:pPr>
            <w:r w:rsidRPr="00852C0B">
              <w:rPr>
                <w:rFonts w:ascii="仿宋_GB2312" w:eastAsia="仿宋_GB2312" w:hAnsiTheme="majorEastAsia" w:cs="仿宋" w:hint="eastAsia"/>
                <w:sz w:val="24"/>
                <w:szCs w:val="24"/>
              </w:rPr>
              <w:t>情况</w:t>
            </w:r>
          </w:p>
          <w:p w:rsidR="000F77C7" w:rsidRPr="00852C0B" w:rsidRDefault="0039066D" w:rsidP="007B3D57">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w:t>
            </w:r>
            <w:r w:rsidR="007B3D57">
              <w:rPr>
                <w:rFonts w:ascii="仿宋_GB2312" w:eastAsia="仿宋_GB2312" w:hAnsiTheme="majorEastAsia" w:cs="仿宋" w:hint="eastAsia"/>
                <w:sz w:val="24"/>
                <w:szCs w:val="24"/>
              </w:rPr>
              <w:t>30</w:t>
            </w:r>
            <w:r w:rsidR="00200547">
              <w:rPr>
                <w:rFonts w:ascii="仿宋_GB2312" w:eastAsia="仿宋_GB2312" w:hAnsiTheme="majorEastAsia" w:cs="仿宋" w:hint="eastAsia"/>
                <w:sz w:val="24"/>
                <w:szCs w:val="24"/>
              </w:rPr>
              <w:t>分</w:t>
            </w:r>
            <w:r>
              <w:rPr>
                <w:rFonts w:ascii="仿宋_GB2312" w:eastAsia="仿宋_GB2312" w:hAnsiTheme="majorEastAsia" w:cs="仿宋" w:hint="eastAsia"/>
                <w:sz w:val="24"/>
                <w:szCs w:val="24"/>
              </w:rPr>
              <w:t>）</w:t>
            </w:r>
          </w:p>
        </w:tc>
        <w:tc>
          <w:tcPr>
            <w:tcW w:w="1843" w:type="dxa"/>
            <w:vAlign w:val="center"/>
          </w:tcPr>
          <w:p w:rsidR="000F77C7" w:rsidRPr="00852C0B" w:rsidRDefault="000F77C7"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负责人学术水平</w:t>
            </w:r>
          </w:p>
        </w:tc>
        <w:tc>
          <w:tcPr>
            <w:tcW w:w="6095" w:type="dxa"/>
            <w:vAlign w:val="center"/>
          </w:tcPr>
          <w:p w:rsidR="000F77C7" w:rsidRPr="00852C0B" w:rsidRDefault="000F77C7"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课程负责人或主讲教师学术水平高</w:t>
            </w:r>
            <w:r w:rsidRPr="00852C0B">
              <w:rPr>
                <w:rFonts w:ascii="仿宋_GB2312" w:eastAsia="仿宋_GB2312" w:hAnsiTheme="majorEastAsia" w:cs="仿宋" w:hint="eastAsia"/>
                <w:sz w:val="24"/>
                <w:szCs w:val="24"/>
              </w:rPr>
              <w:t>，</w:t>
            </w:r>
            <w:r w:rsidRPr="00852C0B">
              <w:rPr>
                <w:rFonts w:ascii="仿宋_GB2312" w:eastAsia="仿宋_GB2312" w:hAnsiTheme="majorEastAsia" w:cs="仿宋"/>
                <w:sz w:val="24"/>
                <w:szCs w:val="24"/>
              </w:rPr>
              <w:t>教学能力强</w:t>
            </w:r>
            <w:r w:rsidRPr="00852C0B">
              <w:rPr>
                <w:rFonts w:ascii="仿宋_GB2312" w:eastAsia="仿宋_GB2312" w:hAnsiTheme="majorEastAsia" w:cs="仿宋" w:hint="eastAsia"/>
                <w:sz w:val="24"/>
                <w:szCs w:val="24"/>
              </w:rPr>
              <w:t>，</w:t>
            </w:r>
            <w:r w:rsidRPr="00852C0B">
              <w:rPr>
                <w:rFonts w:ascii="仿宋_GB2312" w:eastAsia="仿宋_GB2312" w:hAnsiTheme="majorEastAsia" w:cs="仿宋"/>
                <w:sz w:val="24"/>
                <w:szCs w:val="24"/>
              </w:rPr>
              <w:t>教学经验丰富</w:t>
            </w:r>
            <w:r w:rsidRPr="00852C0B">
              <w:rPr>
                <w:rFonts w:ascii="仿宋_GB2312" w:eastAsia="仿宋_GB2312" w:hAnsiTheme="majorEastAsia" w:cs="仿宋" w:hint="eastAsia"/>
                <w:sz w:val="24"/>
                <w:szCs w:val="24"/>
              </w:rPr>
              <w:t>，</w:t>
            </w:r>
            <w:r w:rsidRPr="00852C0B">
              <w:rPr>
                <w:rFonts w:ascii="仿宋_GB2312" w:eastAsia="仿宋_GB2312" w:hAnsiTheme="majorEastAsia" w:cs="仿宋"/>
                <w:sz w:val="24"/>
                <w:szCs w:val="24"/>
              </w:rPr>
              <w:t>教学特色鲜明</w:t>
            </w:r>
            <w:r w:rsidRPr="00852C0B">
              <w:rPr>
                <w:rFonts w:ascii="仿宋_GB2312" w:eastAsia="仿宋_GB2312" w:hAnsiTheme="majorEastAsia" w:cs="仿宋" w:hint="eastAsia"/>
                <w:sz w:val="24"/>
                <w:szCs w:val="24"/>
              </w:rPr>
              <w:t>。</w:t>
            </w:r>
          </w:p>
        </w:tc>
        <w:tc>
          <w:tcPr>
            <w:tcW w:w="993" w:type="dxa"/>
            <w:vAlign w:val="center"/>
          </w:tcPr>
          <w:p w:rsidR="000F77C7" w:rsidRPr="00852C0B" w:rsidRDefault="005C1FF7" w:rsidP="00771CB2">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5</w:t>
            </w:r>
            <w:r w:rsidR="00E42C36">
              <w:rPr>
                <w:rFonts w:ascii="仿宋_GB2312" w:eastAsia="仿宋_GB2312" w:hAnsiTheme="majorEastAsia" w:cs="仿宋" w:hint="eastAsia"/>
                <w:sz w:val="24"/>
                <w:szCs w:val="24"/>
              </w:rPr>
              <w:t>分</w:t>
            </w:r>
          </w:p>
        </w:tc>
        <w:tc>
          <w:tcPr>
            <w:tcW w:w="708" w:type="dxa"/>
          </w:tcPr>
          <w:p w:rsidR="000F77C7" w:rsidRPr="00852C0B" w:rsidRDefault="000F77C7" w:rsidP="00771CB2">
            <w:pPr>
              <w:spacing w:line="276" w:lineRule="auto"/>
              <w:ind w:rightChars="424" w:right="890"/>
              <w:jc w:val="center"/>
              <w:rPr>
                <w:rFonts w:ascii="仿宋_GB2312" w:eastAsia="仿宋_GB2312" w:hAnsiTheme="majorEastAsia" w:cs="仿宋"/>
                <w:sz w:val="24"/>
                <w:szCs w:val="24"/>
              </w:rPr>
            </w:pPr>
          </w:p>
        </w:tc>
      </w:tr>
      <w:tr w:rsidR="00BC2680" w:rsidRPr="00852C0B" w:rsidTr="006C3188">
        <w:trPr>
          <w:jc w:val="center"/>
        </w:trPr>
        <w:tc>
          <w:tcPr>
            <w:tcW w:w="1195" w:type="dxa"/>
            <w:vMerge/>
            <w:vAlign w:val="center"/>
          </w:tcPr>
          <w:p w:rsidR="000F77C7" w:rsidRPr="00852C0B" w:rsidRDefault="000F77C7" w:rsidP="00771CB2">
            <w:pPr>
              <w:spacing w:line="276" w:lineRule="auto"/>
              <w:jc w:val="center"/>
              <w:rPr>
                <w:rFonts w:ascii="仿宋_GB2312" w:eastAsia="仿宋_GB2312" w:hAnsiTheme="majorEastAsia" w:cs="仿宋"/>
                <w:sz w:val="24"/>
                <w:szCs w:val="24"/>
              </w:rPr>
            </w:pPr>
          </w:p>
        </w:tc>
        <w:tc>
          <w:tcPr>
            <w:tcW w:w="1843" w:type="dxa"/>
            <w:vAlign w:val="center"/>
          </w:tcPr>
          <w:p w:rsidR="000F77C7" w:rsidRPr="00852C0B" w:rsidRDefault="000F77C7"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负责人创新创业教育水平</w:t>
            </w:r>
          </w:p>
        </w:tc>
        <w:tc>
          <w:tcPr>
            <w:tcW w:w="6095" w:type="dxa"/>
            <w:vAlign w:val="center"/>
          </w:tcPr>
          <w:p w:rsidR="000F77C7" w:rsidRPr="00852C0B" w:rsidRDefault="0078396A"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课程负责人或主讲教师从事过创新创业工作或指导学生参与过创新创业实践</w:t>
            </w:r>
            <w:r w:rsidRPr="00852C0B">
              <w:rPr>
                <w:rFonts w:ascii="仿宋_GB2312" w:eastAsia="仿宋_GB2312" w:hAnsiTheme="majorEastAsia" w:cs="仿宋" w:hint="eastAsia"/>
                <w:sz w:val="24"/>
                <w:szCs w:val="24"/>
              </w:rPr>
              <w:t>，</w:t>
            </w:r>
            <w:r w:rsidR="009C29E1" w:rsidRPr="00852C0B">
              <w:rPr>
                <w:rFonts w:ascii="仿宋_GB2312" w:eastAsia="仿宋_GB2312" w:hAnsiTheme="majorEastAsia" w:cs="仿宋"/>
                <w:sz w:val="24"/>
                <w:szCs w:val="24"/>
              </w:rPr>
              <w:t>有一定的创新</w:t>
            </w:r>
            <w:r w:rsidRPr="00852C0B">
              <w:rPr>
                <w:rFonts w:ascii="仿宋_GB2312" w:eastAsia="仿宋_GB2312" w:hAnsiTheme="majorEastAsia" w:cs="仿宋"/>
                <w:sz w:val="24"/>
                <w:szCs w:val="24"/>
              </w:rPr>
              <w:t>创业教育经验</w:t>
            </w:r>
            <w:r w:rsidRPr="00852C0B">
              <w:rPr>
                <w:rFonts w:ascii="仿宋_GB2312" w:eastAsia="仿宋_GB2312" w:hAnsiTheme="majorEastAsia" w:cs="仿宋" w:hint="eastAsia"/>
                <w:sz w:val="24"/>
                <w:szCs w:val="24"/>
              </w:rPr>
              <w:t>；</w:t>
            </w:r>
            <w:r w:rsidRPr="00852C0B">
              <w:rPr>
                <w:rFonts w:ascii="仿宋_GB2312" w:eastAsia="仿宋_GB2312" w:hAnsiTheme="majorEastAsia" w:cs="仿宋"/>
                <w:sz w:val="24"/>
                <w:szCs w:val="24"/>
              </w:rPr>
              <w:t>积极开展创新创业教育研究与改革工作</w:t>
            </w:r>
            <w:r w:rsidRPr="00852C0B">
              <w:rPr>
                <w:rFonts w:ascii="仿宋_GB2312" w:eastAsia="仿宋_GB2312" w:hAnsiTheme="majorEastAsia" w:cs="仿宋" w:hint="eastAsia"/>
                <w:sz w:val="24"/>
                <w:szCs w:val="24"/>
              </w:rPr>
              <w:t>，</w:t>
            </w:r>
            <w:r w:rsidRPr="00852C0B">
              <w:rPr>
                <w:rFonts w:ascii="仿宋_GB2312" w:eastAsia="仿宋_GB2312" w:hAnsiTheme="majorEastAsia" w:cs="仿宋"/>
                <w:sz w:val="24"/>
                <w:szCs w:val="24"/>
              </w:rPr>
              <w:t>取得了明显的成效</w:t>
            </w:r>
            <w:r w:rsidRPr="00852C0B">
              <w:rPr>
                <w:rFonts w:ascii="仿宋_GB2312" w:eastAsia="仿宋_GB2312" w:hAnsiTheme="majorEastAsia" w:cs="仿宋" w:hint="eastAsia"/>
                <w:sz w:val="24"/>
                <w:szCs w:val="24"/>
              </w:rPr>
              <w:t>。</w:t>
            </w:r>
          </w:p>
        </w:tc>
        <w:tc>
          <w:tcPr>
            <w:tcW w:w="993" w:type="dxa"/>
            <w:vAlign w:val="center"/>
          </w:tcPr>
          <w:p w:rsidR="000F77C7" w:rsidRPr="00852C0B" w:rsidRDefault="007B3D57" w:rsidP="005C1FF7">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20</w:t>
            </w:r>
            <w:r w:rsidR="00E42C36">
              <w:rPr>
                <w:rFonts w:ascii="仿宋_GB2312" w:eastAsia="仿宋_GB2312" w:hAnsiTheme="majorEastAsia" w:cs="仿宋" w:hint="eastAsia"/>
                <w:sz w:val="24"/>
                <w:szCs w:val="24"/>
              </w:rPr>
              <w:t>分</w:t>
            </w:r>
          </w:p>
        </w:tc>
        <w:tc>
          <w:tcPr>
            <w:tcW w:w="708" w:type="dxa"/>
          </w:tcPr>
          <w:p w:rsidR="000F77C7" w:rsidRPr="00852C0B" w:rsidRDefault="000F77C7" w:rsidP="00771CB2">
            <w:pPr>
              <w:spacing w:line="276" w:lineRule="auto"/>
              <w:jc w:val="center"/>
              <w:rPr>
                <w:rFonts w:ascii="仿宋_GB2312" w:eastAsia="仿宋_GB2312" w:hAnsiTheme="majorEastAsia" w:cs="仿宋"/>
                <w:sz w:val="24"/>
                <w:szCs w:val="24"/>
              </w:rPr>
            </w:pPr>
          </w:p>
        </w:tc>
      </w:tr>
      <w:tr w:rsidR="00BC2680" w:rsidRPr="00852C0B" w:rsidTr="006C3188">
        <w:trPr>
          <w:trHeight w:val="776"/>
          <w:jc w:val="center"/>
        </w:trPr>
        <w:tc>
          <w:tcPr>
            <w:tcW w:w="1195" w:type="dxa"/>
            <w:vMerge/>
            <w:vAlign w:val="center"/>
          </w:tcPr>
          <w:p w:rsidR="000F77C7" w:rsidRPr="00852C0B" w:rsidRDefault="000F77C7" w:rsidP="00771CB2">
            <w:pPr>
              <w:spacing w:line="276" w:lineRule="auto"/>
              <w:jc w:val="center"/>
              <w:rPr>
                <w:rFonts w:ascii="仿宋_GB2312" w:eastAsia="仿宋_GB2312" w:hAnsiTheme="majorEastAsia" w:cs="仿宋"/>
                <w:sz w:val="24"/>
                <w:szCs w:val="24"/>
              </w:rPr>
            </w:pPr>
          </w:p>
        </w:tc>
        <w:tc>
          <w:tcPr>
            <w:tcW w:w="1843" w:type="dxa"/>
            <w:vAlign w:val="center"/>
          </w:tcPr>
          <w:p w:rsidR="000F77C7" w:rsidRPr="00852C0B" w:rsidRDefault="000F77C7"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团队成员构成情况</w:t>
            </w:r>
          </w:p>
        </w:tc>
        <w:tc>
          <w:tcPr>
            <w:tcW w:w="6095" w:type="dxa"/>
            <w:vAlign w:val="center"/>
          </w:tcPr>
          <w:p w:rsidR="000F77C7" w:rsidRPr="00852C0B" w:rsidRDefault="00713099"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hint="eastAsia"/>
                <w:sz w:val="24"/>
                <w:szCs w:val="24"/>
              </w:rPr>
              <w:t>“专创融合”课程建设团队成员构成合理，分工明确。</w:t>
            </w:r>
          </w:p>
        </w:tc>
        <w:tc>
          <w:tcPr>
            <w:tcW w:w="993" w:type="dxa"/>
            <w:vAlign w:val="center"/>
          </w:tcPr>
          <w:p w:rsidR="000F77C7" w:rsidRPr="00852C0B" w:rsidRDefault="00F57408" w:rsidP="00771CB2">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5</w:t>
            </w:r>
            <w:r w:rsidR="00E42C36">
              <w:rPr>
                <w:rFonts w:ascii="仿宋_GB2312" w:eastAsia="仿宋_GB2312" w:hAnsiTheme="majorEastAsia" w:cs="仿宋" w:hint="eastAsia"/>
                <w:sz w:val="24"/>
                <w:szCs w:val="24"/>
              </w:rPr>
              <w:t>分</w:t>
            </w:r>
          </w:p>
        </w:tc>
        <w:tc>
          <w:tcPr>
            <w:tcW w:w="708" w:type="dxa"/>
          </w:tcPr>
          <w:p w:rsidR="000F77C7" w:rsidRPr="00852C0B" w:rsidRDefault="000F77C7" w:rsidP="00771CB2">
            <w:pPr>
              <w:spacing w:line="276" w:lineRule="auto"/>
              <w:jc w:val="center"/>
              <w:rPr>
                <w:rFonts w:ascii="仿宋_GB2312" w:eastAsia="仿宋_GB2312" w:hAnsiTheme="majorEastAsia" w:cs="仿宋"/>
                <w:sz w:val="24"/>
                <w:szCs w:val="24"/>
              </w:rPr>
            </w:pPr>
          </w:p>
        </w:tc>
      </w:tr>
      <w:tr w:rsidR="00BC2680" w:rsidRPr="00852C0B" w:rsidTr="006C3188">
        <w:trPr>
          <w:jc w:val="center"/>
        </w:trPr>
        <w:tc>
          <w:tcPr>
            <w:tcW w:w="1195" w:type="dxa"/>
            <w:vMerge w:val="restart"/>
            <w:vAlign w:val="center"/>
          </w:tcPr>
          <w:p w:rsidR="002F3077" w:rsidRDefault="00111A4C" w:rsidP="00771CB2">
            <w:pPr>
              <w:spacing w:line="276" w:lineRule="auto"/>
              <w:jc w:val="center"/>
              <w:rPr>
                <w:rFonts w:ascii="仿宋_GB2312" w:eastAsia="仿宋_GB2312" w:hAnsiTheme="majorEastAsia" w:cs="仿宋"/>
                <w:sz w:val="24"/>
                <w:szCs w:val="24"/>
              </w:rPr>
            </w:pPr>
            <w:r w:rsidRPr="00852C0B">
              <w:rPr>
                <w:rFonts w:ascii="仿宋_GB2312" w:eastAsia="仿宋_GB2312" w:hAnsiTheme="majorEastAsia" w:cs="仿宋"/>
                <w:sz w:val="24"/>
                <w:szCs w:val="24"/>
              </w:rPr>
              <w:t>课程</w:t>
            </w:r>
            <w:r w:rsidRPr="00852C0B">
              <w:rPr>
                <w:rFonts w:ascii="仿宋_GB2312" w:eastAsia="仿宋_GB2312" w:hAnsiTheme="majorEastAsia" w:cs="仿宋" w:hint="eastAsia"/>
                <w:sz w:val="24"/>
                <w:szCs w:val="24"/>
              </w:rPr>
              <w:t>建设</w:t>
            </w:r>
            <w:r w:rsidRPr="00852C0B">
              <w:rPr>
                <w:rFonts w:ascii="仿宋_GB2312" w:eastAsia="仿宋_GB2312" w:hAnsiTheme="majorEastAsia" w:cs="仿宋"/>
                <w:sz w:val="24"/>
                <w:szCs w:val="24"/>
              </w:rPr>
              <w:t>情况</w:t>
            </w:r>
          </w:p>
          <w:p w:rsidR="00200547" w:rsidRPr="00852C0B" w:rsidRDefault="00200547" w:rsidP="00F47D79">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w:t>
            </w:r>
            <w:r w:rsidR="00311BAA">
              <w:rPr>
                <w:rFonts w:ascii="仿宋_GB2312" w:eastAsia="仿宋_GB2312" w:hAnsiTheme="majorEastAsia" w:cs="仿宋" w:hint="eastAsia"/>
                <w:sz w:val="24"/>
                <w:szCs w:val="24"/>
              </w:rPr>
              <w:t>5</w:t>
            </w:r>
            <w:r w:rsidR="00F47D79">
              <w:rPr>
                <w:rFonts w:ascii="仿宋_GB2312" w:eastAsia="仿宋_GB2312" w:hAnsiTheme="majorEastAsia" w:cs="仿宋" w:hint="eastAsia"/>
                <w:sz w:val="24"/>
                <w:szCs w:val="24"/>
              </w:rPr>
              <w:t>0</w:t>
            </w:r>
            <w:r>
              <w:rPr>
                <w:rFonts w:ascii="仿宋_GB2312" w:eastAsia="仿宋_GB2312" w:hAnsiTheme="majorEastAsia" w:cs="仿宋" w:hint="eastAsia"/>
                <w:sz w:val="24"/>
                <w:szCs w:val="24"/>
              </w:rPr>
              <w:t>分）</w:t>
            </w:r>
          </w:p>
        </w:tc>
        <w:tc>
          <w:tcPr>
            <w:tcW w:w="1843" w:type="dxa"/>
            <w:vAlign w:val="center"/>
          </w:tcPr>
          <w:p w:rsidR="002F3077" w:rsidRPr="00852C0B" w:rsidRDefault="00417ADB"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hint="eastAsia"/>
                <w:sz w:val="24"/>
                <w:szCs w:val="24"/>
              </w:rPr>
              <w:t>课程</w:t>
            </w:r>
            <w:r w:rsidRPr="00852C0B">
              <w:rPr>
                <w:rFonts w:ascii="仿宋_GB2312" w:eastAsia="仿宋_GB2312" w:hAnsiTheme="majorEastAsia" w:cs="仿宋"/>
                <w:sz w:val="24"/>
                <w:szCs w:val="24"/>
              </w:rPr>
              <w:t>定位</w:t>
            </w:r>
            <w:r w:rsidRPr="00852C0B">
              <w:rPr>
                <w:rFonts w:ascii="仿宋_GB2312" w:eastAsia="仿宋_GB2312" w:hAnsiTheme="majorEastAsia" w:cs="仿宋" w:hint="eastAsia"/>
                <w:sz w:val="24"/>
                <w:szCs w:val="24"/>
              </w:rPr>
              <w:t>与</w:t>
            </w:r>
            <w:r w:rsidRPr="00852C0B">
              <w:rPr>
                <w:rFonts w:ascii="仿宋_GB2312" w:eastAsia="仿宋_GB2312" w:hAnsiTheme="majorEastAsia" w:cs="仿宋"/>
                <w:sz w:val="24"/>
                <w:szCs w:val="24"/>
              </w:rPr>
              <w:t>教学目标</w:t>
            </w:r>
          </w:p>
        </w:tc>
        <w:tc>
          <w:tcPr>
            <w:tcW w:w="6095" w:type="dxa"/>
            <w:vAlign w:val="center"/>
          </w:tcPr>
          <w:p w:rsidR="002F3077" w:rsidRPr="00852C0B" w:rsidRDefault="00893492"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拟建设的</w:t>
            </w:r>
            <w:r w:rsidRPr="00852C0B">
              <w:rPr>
                <w:rFonts w:ascii="仿宋_GB2312" w:eastAsia="仿宋_GB2312" w:hAnsiTheme="majorEastAsia" w:cs="仿宋" w:hint="eastAsia"/>
                <w:sz w:val="24"/>
                <w:szCs w:val="24"/>
              </w:rPr>
              <w:t>“专创融合”课程定位明确，教学目标清晰，</w:t>
            </w:r>
            <w:r w:rsidR="00D53436" w:rsidRPr="00852C0B">
              <w:rPr>
                <w:rFonts w:ascii="仿宋_GB2312" w:eastAsia="仿宋_GB2312" w:hAnsiTheme="majorEastAsia" w:cs="仿宋" w:hint="eastAsia"/>
                <w:sz w:val="24"/>
                <w:szCs w:val="24"/>
              </w:rPr>
              <w:t>并契合“专创融合”主题。</w:t>
            </w:r>
          </w:p>
        </w:tc>
        <w:tc>
          <w:tcPr>
            <w:tcW w:w="993" w:type="dxa"/>
            <w:vAlign w:val="center"/>
          </w:tcPr>
          <w:p w:rsidR="002F3077" w:rsidRPr="00852C0B" w:rsidRDefault="00D54FE0" w:rsidP="00771CB2">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5</w:t>
            </w:r>
            <w:r w:rsidR="00E42C36">
              <w:rPr>
                <w:rFonts w:ascii="仿宋_GB2312" w:eastAsia="仿宋_GB2312" w:hAnsiTheme="majorEastAsia" w:cs="仿宋" w:hint="eastAsia"/>
                <w:sz w:val="24"/>
                <w:szCs w:val="24"/>
              </w:rPr>
              <w:t>分</w:t>
            </w:r>
          </w:p>
        </w:tc>
        <w:tc>
          <w:tcPr>
            <w:tcW w:w="708" w:type="dxa"/>
          </w:tcPr>
          <w:p w:rsidR="002F3077" w:rsidRPr="00852C0B" w:rsidRDefault="002F3077" w:rsidP="00771CB2">
            <w:pPr>
              <w:spacing w:line="276" w:lineRule="auto"/>
              <w:jc w:val="center"/>
              <w:rPr>
                <w:rFonts w:ascii="仿宋_GB2312" w:eastAsia="仿宋_GB2312" w:hAnsiTheme="majorEastAsia" w:cs="仿宋"/>
                <w:sz w:val="24"/>
                <w:szCs w:val="24"/>
              </w:rPr>
            </w:pPr>
          </w:p>
        </w:tc>
      </w:tr>
      <w:tr w:rsidR="00BC2680" w:rsidRPr="00852C0B" w:rsidTr="006C3188">
        <w:trPr>
          <w:jc w:val="center"/>
        </w:trPr>
        <w:tc>
          <w:tcPr>
            <w:tcW w:w="1195" w:type="dxa"/>
            <w:vMerge/>
            <w:vAlign w:val="center"/>
          </w:tcPr>
          <w:p w:rsidR="002F3077" w:rsidRPr="00852C0B" w:rsidRDefault="002F3077" w:rsidP="00771CB2">
            <w:pPr>
              <w:spacing w:line="276" w:lineRule="auto"/>
              <w:jc w:val="center"/>
              <w:rPr>
                <w:rFonts w:ascii="仿宋_GB2312" w:eastAsia="仿宋_GB2312" w:hAnsiTheme="majorEastAsia" w:cs="仿宋"/>
                <w:sz w:val="24"/>
                <w:szCs w:val="24"/>
              </w:rPr>
            </w:pPr>
          </w:p>
        </w:tc>
        <w:tc>
          <w:tcPr>
            <w:tcW w:w="1843" w:type="dxa"/>
            <w:vAlign w:val="center"/>
          </w:tcPr>
          <w:p w:rsidR="002F3077" w:rsidRPr="00852C0B" w:rsidRDefault="00417ADB"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课程内容组织与安排</w:t>
            </w:r>
          </w:p>
        </w:tc>
        <w:tc>
          <w:tcPr>
            <w:tcW w:w="6095" w:type="dxa"/>
            <w:vAlign w:val="center"/>
          </w:tcPr>
          <w:p w:rsidR="002F3077" w:rsidRPr="00852C0B" w:rsidRDefault="00B610CE" w:rsidP="00311BAA">
            <w:pPr>
              <w:spacing w:line="276" w:lineRule="auto"/>
              <w:rPr>
                <w:rFonts w:ascii="仿宋_GB2312" w:eastAsia="仿宋_GB2312" w:hAnsiTheme="majorEastAsia" w:cs="仿宋"/>
                <w:sz w:val="24"/>
                <w:szCs w:val="24"/>
              </w:rPr>
            </w:pPr>
            <w:r w:rsidRPr="00B610CE">
              <w:rPr>
                <w:rFonts w:ascii="仿宋_GB2312" w:eastAsia="仿宋_GB2312" w:hAnsiTheme="majorEastAsia" w:cs="仿宋" w:hint="eastAsia"/>
                <w:sz w:val="24"/>
                <w:szCs w:val="24"/>
              </w:rPr>
              <w:t>在课程设计中贴近行业实际、构建创新创业场景，促进学生了解行业、深耕专业。</w:t>
            </w:r>
            <w:r w:rsidR="00311BAA" w:rsidRPr="00852C0B">
              <w:rPr>
                <w:rFonts w:ascii="仿宋_GB2312" w:eastAsia="仿宋_GB2312" w:hAnsiTheme="majorEastAsia" w:cs="仿宋" w:hint="eastAsia"/>
                <w:sz w:val="24"/>
                <w:szCs w:val="24"/>
              </w:rPr>
              <w:t>将创新创业教育融入专业教育，培养学生在专业领域的创新精神和创业意识。</w:t>
            </w:r>
            <w:r w:rsidRPr="00B610CE">
              <w:rPr>
                <w:rFonts w:ascii="仿宋_GB2312" w:eastAsia="仿宋_GB2312" w:hAnsiTheme="majorEastAsia" w:cs="仿宋" w:hint="eastAsia"/>
                <w:sz w:val="24"/>
                <w:szCs w:val="24"/>
              </w:rPr>
              <w:t>将创新思维、创业意识等内容与课程知识点有机结合，引导学生开展创新研究、产品开发，鼓励学生基于本专业创业。</w:t>
            </w:r>
          </w:p>
        </w:tc>
        <w:tc>
          <w:tcPr>
            <w:tcW w:w="993" w:type="dxa"/>
            <w:vAlign w:val="center"/>
          </w:tcPr>
          <w:p w:rsidR="002F3077" w:rsidRPr="00852C0B" w:rsidRDefault="0006302E" w:rsidP="009764D8">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35</w:t>
            </w:r>
            <w:r w:rsidR="00E42C36">
              <w:rPr>
                <w:rFonts w:ascii="仿宋_GB2312" w:eastAsia="仿宋_GB2312" w:hAnsiTheme="majorEastAsia" w:cs="仿宋" w:hint="eastAsia"/>
                <w:sz w:val="24"/>
                <w:szCs w:val="24"/>
              </w:rPr>
              <w:t>分</w:t>
            </w:r>
          </w:p>
        </w:tc>
        <w:tc>
          <w:tcPr>
            <w:tcW w:w="708" w:type="dxa"/>
          </w:tcPr>
          <w:p w:rsidR="002F3077" w:rsidRPr="00852C0B" w:rsidRDefault="002F3077" w:rsidP="00771CB2">
            <w:pPr>
              <w:spacing w:line="276" w:lineRule="auto"/>
              <w:jc w:val="center"/>
              <w:rPr>
                <w:rFonts w:ascii="仿宋_GB2312" w:eastAsia="仿宋_GB2312" w:hAnsiTheme="majorEastAsia" w:cs="仿宋"/>
                <w:sz w:val="24"/>
                <w:szCs w:val="24"/>
              </w:rPr>
            </w:pPr>
          </w:p>
        </w:tc>
      </w:tr>
      <w:tr w:rsidR="00BC2680" w:rsidRPr="00852C0B" w:rsidTr="006C3188">
        <w:trPr>
          <w:trHeight w:val="667"/>
          <w:jc w:val="center"/>
        </w:trPr>
        <w:tc>
          <w:tcPr>
            <w:tcW w:w="1195" w:type="dxa"/>
            <w:vMerge/>
            <w:vAlign w:val="center"/>
          </w:tcPr>
          <w:p w:rsidR="002F3077" w:rsidRPr="00852C0B" w:rsidRDefault="002F3077" w:rsidP="00771CB2">
            <w:pPr>
              <w:spacing w:line="276" w:lineRule="auto"/>
              <w:jc w:val="center"/>
              <w:rPr>
                <w:rFonts w:ascii="仿宋_GB2312" w:eastAsia="仿宋_GB2312" w:hAnsiTheme="majorEastAsia" w:cs="仿宋"/>
                <w:sz w:val="24"/>
                <w:szCs w:val="24"/>
              </w:rPr>
            </w:pPr>
          </w:p>
        </w:tc>
        <w:tc>
          <w:tcPr>
            <w:tcW w:w="1843" w:type="dxa"/>
            <w:vAlign w:val="center"/>
          </w:tcPr>
          <w:p w:rsidR="002F3077" w:rsidRPr="00852C0B" w:rsidRDefault="00417ADB"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教学方法与手段</w:t>
            </w:r>
          </w:p>
        </w:tc>
        <w:tc>
          <w:tcPr>
            <w:tcW w:w="6095" w:type="dxa"/>
            <w:vAlign w:val="center"/>
          </w:tcPr>
          <w:p w:rsidR="002F3077" w:rsidRPr="00852C0B" w:rsidRDefault="00205479"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hint="eastAsia"/>
                <w:sz w:val="24"/>
                <w:szCs w:val="24"/>
              </w:rPr>
              <w:t>灵活运用启发式、探究式、讨论式、案例式、项目驱动式、线上线下相结合等多样化混合式教学模式，实现“以学生为中心”的教学方式；注重案例分析教学，加强实践教学环节。</w:t>
            </w:r>
          </w:p>
        </w:tc>
        <w:tc>
          <w:tcPr>
            <w:tcW w:w="993" w:type="dxa"/>
            <w:vAlign w:val="center"/>
          </w:tcPr>
          <w:p w:rsidR="002F3077" w:rsidRPr="00852C0B" w:rsidRDefault="00D54FE0" w:rsidP="00771CB2">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10</w:t>
            </w:r>
            <w:r w:rsidR="00223278">
              <w:rPr>
                <w:rFonts w:ascii="仿宋_GB2312" w:eastAsia="仿宋_GB2312" w:hAnsiTheme="majorEastAsia" w:cs="仿宋" w:hint="eastAsia"/>
                <w:sz w:val="24"/>
                <w:szCs w:val="24"/>
              </w:rPr>
              <w:t>分</w:t>
            </w:r>
          </w:p>
        </w:tc>
        <w:tc>
          <w:tcPr>
            <w:tcW w:w="708" w:type="dxa"/>
          </w:tcPr>
          <w:p w:rsidR="002F3077" w:rsidRPr="00852C0B" w:rsidRDefault="002F3077" w:rsidP="00771CB2">
            <w:pPr>
              <w:spacing w:line="276" w:lineRule="auto"/>
              <w:jc w:val="center"/>
              <w:rPr>
                <w:rFonts w:ascii="仿宋_GB2312" w:eastAsia="仿宋_GB2312" w:hAnsiTheme="majorEastAsia" w:cs="仿宋"/>
                <w:sz w:val="24"/>
                <w:szCs w:val="24"/>
              </w:rPr>
            </w:pPr>
          </w:p>
        </w:tc>
      </w:tr>
      <w:tr w:rsidR="00BC2680" w:rsidRPr="00852C0B" w:rsidTr="006C3188">
        <w:trPr>
          <w:jc w:val="center"/>
        </w:trPr>
        <w:tc>
          <w:tcPr>
            <w:tcW w:w="1195" w:type="dxa"/>
            <w:vAlign w:val="center"/>
          </w:tcPr>
          <w:p w:rsidR="00311BAA" w:rsidRDefault="00F646F5" w:rsidP="00771CB2">
            <w:pPr>
              <w:spacing w:line="276" w:lineRule="auto"/>
              <w:jc w:val="center"/>
              <w:rPr>
                <w:rFonts w:ascii="仿宋_GB2312" w:eastAsia="仿宋_GB2312" w:hAnsiTheme="majorEastAsia" w:cs="仿宋"/>
                <w:sz w:val="24"/>
                <w:szCs w:val="24"/>
              </w:rPr>
            </w:pPr>
            <w:r w:rsidRPr="00F646F5">
              <w:rPr>
                <w:rFonts w:ascii="仿宋_GB2312" w:eastAsia="仿宋_GB2312" w:hAnsiTheme="majorEastAsia" w:cs="仿宋"/>
                <w:sz w:val="24"/>
                <w:szCs w:val="24"/>
              </w:rPr>
              <w:t>课程建设的</w:t>
            </w:r>
            <w:r w:rsidRPr="00852C0B">
              <w:rPr>
                <w:rFonts w:ascii="仿宋_GB2312" w:eastAsia="仿宋_GB2312" w:hAnsiTheme="majorEastAsia" w:cs="仿宋"/>
                <w:sz w:val="24"/>
                <w:szCs w:val="24"/>
              </w:rPr>
              <w:t>价值</w:t>
            </w:r>
          </w:p>
          <w:p w:rsidR="00471E36" w:rsidRPr="00852C0B" w:rsidRDefault="00311BAA" w:rsidP="005C1FF7">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w:t>
            </w:r>
            <w:r w:rsidR="00F646F5">
              <w:rPr>
                <w:rFonts w:ascii="仿宋_GB2312" w:eastAsia="仿宋_GB2312" w:hAnsiTheme="majorEastAsia" w:cs="仿宋" w:hint="eastAsia"/>
                <w:sz w:val="24"/>
                <w:szCs w:val="24"/>
              </w:rPr>
              <w:t>10</w:t>
            </w:r>
            <w:r>
              <w:rPr>
                <w:rFonts w:ascii="仿宋_GB2312" w:eastAsia="仿宋_GB2312" w:hAnsiTheme="majorEastAsia" w:cs="仿宋" w:hint="eastAsia"/>
                <w:sz w:val="24"/>
                <w:szCs w:val="24"/>
              </w:rPr>
              <w:t>分）</w:t>
            </w:r>
          </w:p>
        </w:tc>
        <w:tc>
          <w:tcPr>
            <w:tcW w:w="1843" w:type="dxa"/>
            <w:vAlign w:val="center"/>
          </w:tcPr>
          <w:p w:rsidR="00471E36" w:rsidRPr="00852C0B" w:rsidRDefault="00F646F5" w:rsidP="00F646F5">
            <w:pPr>
              <w:spacing w:line="276" w:lineRule="auto"/>
              <w:rPr>
                <w:rFonts w:ascii="仿宋_GB2312" w:eastAsia="仿宋_GB2312" w:hAnsiTheme="majorEastAsia" w:cs="仿宋"/>
                <w:sz w:val="24"/>
                <w:szCs w:val="24"/>
              </w:rPr>
            </w:pPr>
            <w:r w:rsidRPr="00F646F5">
              <w:rPr>
                <w:rFonts w:ascii="仿宋_GB2312" w:eastAsia="仿宋_GB2312" w:hAnsiTheme="majorEastAsia" w:cs="仿宋"/>
                <w:sz w:val="24"/>
                <w:szCs w:val="24"/>
              </w:rPr>
              <w:t>课程建设的</w:t>
            </w:r>
            <w:r w:rsidRPr="00852C0B">
              <w:rPr>
                <w:rFonts w:ascii="仿宋_GB2312" w:eastAsia="仿宋_GB2312" w:hAnsiTheme="majorEastAsia" w:cs="仿宋"/>
                <w:sz w:val="24"/>
                <w:szCs w:val="24"/>
              </w:rPr>
              <w:t>价值</w:t>
            </w:r>
          </w:p>
        </w:tc>
        <w:tc>
          <w:tcPr>
            <w:tcW w:w="6095" w:type="dxa"/>
            <w:vAlign w:val="center"/>
          </w:tcPr>
          <w:p w:rsidR="00471E36" w:rsidRPr="00852C0B" w:rsidRDefault="00022F96" w:rsidP="0093030B">
            <w:pPr>
              <w:spacing w:line="276" w:lineRule="auto"/>
              <w:rPr>
                <w:rFonts w:ascii="仿宋_GB2312" w:eastAsia="仿宋_GB2312" w:hAnsiTheme="majorEastAsia" w:cs="仿宋"/>
                <w:sz w:val="24"/>
                <w:szCs w:val="24"/>
              </w:rPr>
            </w:pPr>
            <w:r w:rsidRPr="00852C0B">
              <w:rPr>
                <w:rFonts w:ascii="仿宋_GB2312" w:eastAsia="仿宋_GB2312" w:hAnsiTheme="majorEastAsia" w:cs="仿宋" w:hint="eastAsia"/>
                <w:sz w:val="24"/>
                <w:szCs w:val="24"/>
              </w:rPr>
              <w:t>通过“专创融合”课程的建设</w:t>
            </w:r>
            <w:r w:rsidR="00FA3535" w:rsidRPr="00852C0B">
              <w:rPr>
                <w:rFonts w:ascii="仿宋_GB2312" w:eastAsia="仿宋_GB2312" w:hAnsiTheme="majorEastAsia" w:cs="仿宋" w:hint="eastAsia"/>
                <w:sz w:val="24"/>
                <w:szCs w:val="24"/>
              </w:rPr>
              <w:t>，</w:t>
            </w:r>
            <w:r w:rsidRPr="00852C0B">
              <w:rPr>
                <w:rFonts w:ascii="仿宋_GB2312" w:eastAsia="仿宋_GB2312" w:hAnsiTheme="majorEastAsia" w:cs="仿宋" w:hint="eastAsia"/>
                <w:sz w:val="24"/>
                <w:szCs w:val="24"/>
              </w:rPr>
              <w:t>推动专业教师积极适应、投入创新创业教育，并切实增强</w:t>
            </w:r>
            <w:r w:rsidR="00FA3535" w:rsidRPr="00852C0B">
              <w:rPr>
                <w:rFonts w:ascii="仿宋_GB2312" w:eastAsia="仿宋_GB2312" w:hAnsiTheme="majorEastAsia" w:cs="仿宋" w:hint="eastAsia"/>
                <w:sz w:val="24"/>
                <w:szCs w:val="24"/>
              </w:rPr>
              <w:t>学生的创新精神</w:t>
            </w:r>
            <w:r w:rsidRPr="00852C0B">
              <w:rPr>
                <w:rFonts w:ascii="仿宋_GB2312" w:eastAsia="仿宋_GB2312" w:hAnsiTheme="majorEastAsia" w:cs="仿宋" w:hint="eastAsia"/>
                <w:sz w:val="24"/>
                <w:szCs w:val="24"/>
              </w:rPr>
              <w:t>、</w:t>
            </w:r>
            <w:r w:rsidR="00FA3535" w:rsidRPr="00852C0B">
              <w:rPr>
                <w:rFonts w:ascii="仿宋_GB2312" w:eastAsia="仿宋_GB2312" w:hAnsiTheme="majorEastAsia" w:cs="仿宋" w:hint="eastAsia"/>
                <w:sz w:val="24"/>
                <w:szCs w:val="24"/>
              </w:rPr>
              <w:t>创业意识</w:t>
            </w:r>
            <w:r w:rsidRPr="00852C0B">
              <w:rPr>
                <w:rFonts w:ascii="仿宋_GB2312" w:eastAsia="仿宋_GB2312" w:hAnsiTheme="majorEastAsia" w:cs="仿宋" w:hint="eastAsia"/>
                <w:sz w:val="24"/>
                <w:szCs w:val="24"/>
              </w:rPr>
              <w:t>和</w:t>
            </w:r>
            <w:bookmarkStart w:id="0" w:name="_GoBack"/>
            <w:bookmarkEnd w:id="0"/>
            <w:r w:rsidRPr="00852C0B">
              <w:rPr>
                <w:rFonts w:ascii="仿宋_GB2312" w:eastAsia="仿宋_GB2312" w:hAnsiTheme="majorEastAsia" w:cs="仿宋" w:hint="eastAsia"/>
                <w:sz w:val="24"/>
                <w:szCs w:val="24"/>
              </w:rPr>
              <w:t>创新创业能力</w:t>
            </w:r>
            <w:r w:rsidR="003006F0">
              <w:rPr>
                <w:rFonts w:ascii="仿宋_GB2312" w:eastAsia="仿宋_GB2312" w:hAnsiTheme="majorEastAsia" w:cs="仿宋" w:hint="eastAsia"/>
                <w:sz w:val="24"/>
                <w:szCs w:val="24"/>
              </w:rPr>
              <w:t>；可复制推广性较好。</w:t>
            </w:r>
          </w:p>
        </w:tc>
        <w:tc>
          <w:tcPr>
            <w:tcW w:w="993" w:type="dxa"/>
            <w:vAlign w:val="center"/>
          </w:tcPr>
          <w:p w:rsidR="00471E36" w:rsidRPr="00852C0B" w:rsidRDefault="00223278" w:rsidP="00771CB2">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10分</w:t>
            </w:r>
          </w:p>
        </w:tc>
        <w:tc>
          <w:tcPr>
            <w:tcW w:w="708" w:type="dxa"/>
          </w:tcPr>
          <w:p w:rsidR="00471E36" w:rsidRPr="00852C0B" w:rsidRDefault="00471E36" w:rsidP="00771CB2">
            <w:pPr>
              <w:spacing w:line="276" w:lineRule="auto"/>
              <w:jc w:val="center"/>
              <w:rPr>
                <w:rFonts w:ascii="仿宋_GB2312" w:eastAsia="仿宋_GB2312" w:hAnsiTheme="majorEastAsia" w:cs="仿宋"/>
                <w:sz w:val="24"/>
                <w:szCs w:val="24"/>
              </w:rPr>
            </w:pPr>
          </w:p>
        </w:tc>
      </w:tr>
      <w:tr w:rsidR="00BC2680" w:rsidRPr="00852C0B" w:rsidTr="006C3188">
        <w:trPr>
          <w:jc w:val="center"/>
        </w:trPr>
        <w:tc>
          <w:tcPr>
            <w:tcW w:w="1195" w:type="dxa"/>
            <w:vMerge w:val="restart"/>
            <w:vAlign w:val="center"/>
          </w:tcPr>
          <w:p w:rsidR="001D6122" w:rsidRDefault="001D6122" w:rsidP="00771CB2">
            <w:pPr>
              <w:spacing w:line="276" w:lineRule="auto"/>
              <w:jc w:val="center"/>
              <w:rPr>
                <w:rFonts w:ascii="仿宋_GB2312" w:eastAsia="仿宋_GB2312" w:hAnsiTheme="majorEastAsia" w:cs="仿宋"/>
                <w:sz w:val="24"/>
                <w:szCs w:val="24"/>
              </w:rPr>
            </w:pPr>
            <w:r w:rsidRPr="00852C0B">
              <w:rPr>
                <w:rFonts w:ascii="仿宋_GB2312" w:eastAsia="仿宋_GB2312" w:hAnsiTheme="majorEastAsia" w:cs="仿宋"/>
                <w:sz w:val="24"/>
                <w:szCs w:val="24"/>
              </w:rPr>
              <w:t>可行性</w:t>
            </w:r>
          </w:p>
          <w:p w:rsidR="00200547" w:rsidRPr="00852C0B" w:rsidRDefault="00200547" w:rsidP="00F47D79">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w:t>
            </w:r>
            <w:r w:rsidR="00F47D79">
              <w:rPr>
                <w:rFonts w:ascii="仿宋_GB2312" w:eastAsia="仿宋_GB2312" w:hAnsiTheme="majorEastAsia" w:cs="仿宋" w:hint="eastAsia"/>
                <w:sz w:val="24"/>
                <w:szCs w:val="24"/>
              </w:rPr>
              <w:t>10</w:t>
            </w:r>
            <w:r>
              <w:rPr>
                <w:rFonts w:ascii="仿宋_GB2312" w:eastAsia="仿宋_GB2312" w:hAnsiTheme="majorEastAsia" w:cs="仿宋" w:hint="eastAsia"/>
                <w:sz w:val="24"/>
                <w:szCs w:val="24"/>
              </w:rPr>
              <w:t>分）</w:t>
            </w:r>
          </w:p>
        </w:tc>
        <w:tc>
          <w:tcPr>
            <w:tcW w:w="1843" w:type="dxa"/>
            <w:vAlign w:val="center"/>
          </w:tcPr>
          <w:p w:rsidR="001D6122" w:rsidRPr="00852C0B" w:rsidRDefault="001D6122"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条件保障</w:t>
            </w:r>
          </w:p>
        </w:tc>
        <w:tc>
          <w:tcPr>
            <w:tcW w:w="6095" w:type="dxa"/>
            <w:vAlign w:val="center"/>
          </w:tcPr>
          <w:p w:rsidR="001D6122" w:rsidRPr="00852C0B" w:rsidRDefault="0018792E"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课程建设团队拥有良好的教学场地</w:t>
            </w:r>
            <w:r w:rsidRPr="00852C0B">
              <w:rPr>
                <w:rFonts w:ascii="仿宋_GB2312" w:eastAsia="仿宋_GB2312" w:hAnsiTheme="majorEastAsia" w:cs="仿宋" w:hint="eastAsia"/>
                <w:sz w:val="24"/>
                <w:szCs w:val="24"/>
              </w:rPr>
              <w:t>、教材资源、</w:t>
            </w:r>
            <w:r w:rsidRPr="00852C0B">
              <w:rPr>
                <w:rFonts w:ascii="仿宋_GB2312" w:eastAsia="仿宋_GB2312" w:hAnsiTheme="majorEastAsia" w:cs="仿宋"/>
                <w:sz w:val="24"/>
                <w:szCs w:val="24"/>
              </w:rPr>
              <w:t>网络资源</w:t>
            </w:r>
            <w:r w:rsidRPr="00852C0B">
              <w:rPr>
                <w:rFonts w:ascii="仿宋_GB2312" w:eastAsia="仿宋_GB2312" w:hAnsiTheme="majorEastAsia" w:cs="仿宋" w:hint="eastAsia"/>
                <w:sz w:val="24"/>
                <w:szCs w:val="24"/>
              </w:rPr>
              <w:t>、</w:t>
            </w:r>
            <w:r w:rsidRPr="00852C0B">
              <w:rPr>
                <w:rFonts w:ascii="仿宋_GB2312" w:eastAsia="仿宋_GB2312" w:hAnsiTheme="majorEastAsia" w:cs="仿宋"/>
                <w:sz w:val="24"/>
                <w:szCs w:val="24"/>
              </w:rPr>
              <w:t>技术方法等保障条件</w:t>
            </w:r>
            <w:r w:rsidRPr="00852C0B">
              <w:rPr>
                <w:rFonts w:ascii="仿宋_GB2312" w:eastAsia="仿宋_GB2312" w:hAnsiTheme="majorEastAsia" w:cs="仿宋" w:hint="eastAsia"/>
                <w:sz w:val="24"/>
                <w:szCs w:val="24"/>
              </w:rPr>
              <w:t>，</w:t>
            </w:r>
            <w:r w:rsidRPr="00852C0B">
              <w:rPr>
                <w:rFonts w:ascii="仿宋_GB2312" w:eastAsia="仿宋_GB2312" w:hAnsiTheme="majorEastAsia" w:cs="仿宋"/>
                <w:sz w:val="24"/>
                <w:szCs w:val="24"/>
              </w:rPr>
              <w:t>课程建设已取得阶段性</w:t>
            </w:r>
            <w:r w:rsidRPr="00852C0B">
              <w:rPr>
                <w:rFonts w:ascii="仿宋_GB2312" w:eastAsia="仿宋_GB2312" w:hAnsiTheme="majorEastAsia" w:cs="仿宋" w:hint="eastAsia"/>
                <w:sz w:val="24"/>
                <w:szCs w:val="24"/>
              </w:rPr>
              <w:t>效</w:t>
            </w:r>
            <w:r w:rsidRPr="00852C0B">
              <w:rPr>
                <w:rFonts w:ascii="仿宋_GB2312" w:eastAsia="仿宋_GB2312" w:hAnsiTheme="majorEastAsia" w:cs="仿宋"/>
                <w:sz w:val="24"/>
                <w:szCs w:val="24"/>
              </w:rPr>
              <w:t>果</w:t>
            </w:r>
            <w:r w:rsidRPr="00852C0B">
              <w:rPr>
                <w:rFonts w:ascii="仿宋_GB2312" w:eastAsia="仿宋_GB2312" w:hAnsiTheme="majorEastAsia" w:cs="仿宋" w:hint="eastAsia"/>
                <w:sz w:val="24"/>
                <w:szCs w:val="24"/>
              </w:rPr>
              <w:t>。</w:t>
            </w:r>
          </w:p>
        </w:tc>
        <w:tc>
          <w:tcPr>
            <w:tcW w:w="993" w:type="dxa"/>
            <w:vAlign w:val="center"/>
          </w:tcPr>
          <w:p w:rsidR="001D6122" w:rsidRPr="00852C0B" w:rsidRDefault="00F47D79" w:rsidP="005C1FF7">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5</w:t>
            </w:r>
            <w:r w:rsidR="00223278">
              <w:rPr>
                <w:rFonts w:ascii="仿宋_GB2312" w:eastAsia="仿宋_GB2312" w:hAnsiTheme="majorEastAsia" w:cs="仿宋" w:hint="eastAsia"/>
                <w:sz w:val="24"/>
                <w:szCs w:val="24"/>
              </w:rPr>
              <w:t>分</w:t>
            </w:r>
          </w:p>
        </w:tc>
        <w:tc>
          <w:tcPr>
            <w:tcW w:w="708" w:type="dxa"/>
          </w:tcPr>
          <w:p w:rsidR="001D6122" w:rsidRPr="00852C0B" w:rsidRDefault="001D6122" w:rsidP="00771CB2">
            <w:pPr>
              <w:spacing w:line="276" w:lineRule="auto"/>
              <w:jc w:val="center"/>
              <w:rPr>
                <w:rFonts w:ascii="仿宋_GB2312" w:eastAsia="仿宋_GB2312" w:hAnsiTheme="majorEastAsia" w:cs="仿宋"/>
                <w:sz w:val="24"/>
                <w:szCs w:val="24"/>
              </w:rPr>
            </w:pPr>
          </w:p>
        </w:tc>
      </w:tr>
      <w:tr w:rsidR="00BC2680" w:rsidRPr="00852C0B" w:rsidTr="006C3188">
        <w:trPr>
          <w:trHeight w:val="580"/>
          <w:jc w:val="center"/>
        </w:trPr>
        <w:tc>
          <w:tcPr>
            <w:tcW w:w="1195" w:type="dxa"/>
            <w:vMerge/>
            <w:vAlign w:val="center"/>
          </w:tcPr>
          <w:p w:rsidR="001D6122" w:rsidRPr="00852C0B" w:rsidRDefault="001D6122" w:rsidP="00771CB2">
            <w:pPr>
              <w:spacing w:line="276" w:lineRule="auto"/>
              <w:jc w:val="center"/>
              <w:rPr>
                <w:rFonts w:ascii="仿宋_GB2312" w:eastAsia="仿宋_GB2312" w:hAnsiTheme="majorEastAsia" w:cs="仿宋"/>
                <w:sz w:val="24"/>
                <w:szCs w:val="24"/>
              </w:rPr>
            </w:pPr>
          </w:p>
        </w:tc>
        <w:tc>
          <w:tcPr>
            <w:tcW w:w="1843" w:type="dxa"/>
            <w:vAlign w:val="center"/>
          </w:tcPr>
          <w:p w:rsidR="001D6122" w:rsidRPr="00852C0B" w:rsidRDefault="001D6122"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经费预算</w:t>
            </w:r>
          </w:p>
        </w:tc>
        <w:tc>
          <w:tcPr>
            <w:tcW w:w="6095" w:type="dxa"/>
            <w:vAlign w:val="center"/>
          </w:tcPr>
          <w:p w:rsidR="001D6122" w:rsidRPr="00852C0B" w:rsidRDefault="0018792E" w:rsidP="00771CB2">
            <w:pPr>
              <w:spacing w:line="276" w:lineRule="auto"/>
              <w:rPr>
                <w:rFonts w:ascii="仿宋_GB2312" w:eastAsia="仿宋_GB2312" w:hAnsiTheme="majorEastAsia" w:cs="仿宋"/>
                <w:sz w:val="24"/>
                <w:szCs w:val="24"/>
              </w:rPr>
            </w:pPr>
            <w:r w:rsidRPr="00852C0B">
              <w:rPr>
                <w:rFonts w:ascii="仿宋_GB2312" w:eastAsia="仿宋_GB2312" w:hAnsiTheme="majorEastAsia" w:cs="仿宋"/>
                <w:sz w:val="24"/>
                <w:szCs w:val="24"/>
              </w:rPr>
              <w:t>经费预算合理</w:t>
            </w:r>
            <w:r w:rsidRPr="00852C0B">
              <w:rPr>
                <w:rFonts w:ascii="仿宋_GB2312" w:eastAsia="仿宋_GB2312" w:hAnsiTheme="majorEastAsia" w:cs="仿宋" w:hint="eastAsia"/>
                <w:sz w:val="24"/>
                <w:szCs w:val="24"/>
              </w:rPr>
              <w:t>，</w:t>
            </w:r>
            <w:r w:rsidRPr="00852C0B">
              <w:rPr>
                <w:rFonts w:ascii="仿宋_GB2312" w:eastAsia="仿宋_GB2312" w:hAnsiTheme="majorEastAsia" w:cs="仿宋"/>
                <w:sz w:val="24"/>
                <w:szCs w:val="24"/>
              </w:rPr>
              <w:t>金额在可承担范围内</w:t>
            </w:r>
            <w:r w:rsidRPr="00852C0B">
              <w:rPr>
                <w:rFonts w:ascii="仿宋_GB2312" w:eastAsia="仿宋_GB2312" w:hAnsiTheme="majorEastAsia" w:cs="仿宋" w:hint="eastAsia"/>
                <w:sz w:val="24"/>
                <w:szCs w:val="24"/>
              </w:rPr>
              <w:t>。</w:t>
            </w:r>
          </w:p>
        </w:tc>
        <w:tc>
          <w:tcPr>
            <w:tcW w:w="993" w:type="dxa"/>
            <w:vAlign w:val="center"/>
          </w:tcPr>
          <w:p w:rsidR="001D6122" w:rsidRPr="00852C0B" w:rsidRDefault="00D54FE0" w:rsidP="00771CB2">
            <w:pPr>
              <w:spacing w:line="276" w:lineRule="auto"/>
              <w:jc w:val="center"/>
              <w:rPr>
                <w:rFonts w:ascii="仿宋_GB2312" w:eastAsia="仿宋_GB2312" w:hAnsiTheme="majorEastAsia" w:cs="仿宋"/>
                <w:sz w:val="24"/>
                <w:szCs w:val="24"/>
              </w:rPr>
            </w:pPr>
            <w:r>
              <w:rPr>
                <w:rFonts w:ascii="仿宋_GB2312" w:eastAsia="仿宋_GB2312" w:hAnsiTheme="majorEastAsia" w:cs="仿宋" w:hint="eastAsia"/>
                <w:sz w:val="24"/>
                <w:szCs w:val="24"/>
              </w:rPr>
              <w:t>5</w:t>
            </w:r>
            <w:r w:rsidR="00223278">
              <w:rPr>
                <w:rFonts w:ascii="仿宋_GB2312" w:eastAsia="仿宋_GB2312" w:hAnsiTheme="majorEastAsia" w:cs="仿宋" w:hint="eastAsia"/>
                <w:sz w:val="24"/>
                <w:szCs w:val="24"/>
              </w:rPr>
              <w:t>分</w:t>
            </w:r>
          </w:p>
        </w:tc>
        <w:tc>
          <w:tcPr>
            <w:tcW w:w="708" w:type="dxa"/>
          </w:tcPr>
          <w:p w:rsidR="001D6122" w:rsidRPr="00852C0B" w:rsidRDefault="001D6122" w:rsidP="00771CB2">
            <w:pPr>
              <w:spacing w:line="276" w:lineRule="auto"/>
              <w:jc w:val="center"/>
              <w:rPr>
                <w:rFonts w:ascii="仿宋_GB2312" w:eastAsia="仿宋_GB2312" w:hAnsiTheme="majorEastAsia" w:cs="仿宋"/>
                <w:sz w:val="24"/>
                <w:szCs w:val="24"/>
              </w:rPr>
            </w:pPr>
          </w:p>
        </w:tc>
      </w:tr>
      <w:tr w:rsidR="0070519A" w:rsidRPr="00852C0B" w:rsidTr="006C3188">
        <w:trPr>
          <w:trHeight w:val="918"/>
          <w:jc w:val="center"/>
        </w:trPr>
        <w:tc>
          <w:tcPr>
            <w:tcW w:w="10126" w:type="dxa"/>
            <w:gridSpan w:val="4"/>
            <w:vAlign w:val="center"/>
          </w:tcPr>
          <w:p w:rsidR="0070519A" w:rsidRPr="00852C0B" w:rsidRDefault="0070519A" w:rsidP="00771CB2">
            <w:pPr>
              <w:spacing w:line="276" w:lineRule="auto"/>
              <w:jc w:val="center"/>
              <w:rPr>
                <w:rFonts w:ascii="仿宋_GB2312" w:eastAsia="仿宋_GB2312" w:hAnsiTheme="majorEastAsia" w:cs="仿宋"/>
                <w:b/>
                <w:sz w:val="24"/>
                <w:szCs w:val="24"/>
              </w:rPr>
            </w:pPr>
            <w:r w:rsidRPr="00852C0B">
              <w:rPr>
                <w:rFonts w:ascii="仿宋_GB2312" w:eastAsia="仿宋_GB2312" w:hAnsiTheme="majorEastAsia" w:cs="仿宋" w:hint="eastAsia"/>
                <w:b/>
                <w:sz w:val="24"/>
                <w:szCs w:val="24"/>
              </w:rPr>
              <w:t>总得分</w:t>
            </w:r>
          </w:p>
        </w:tc>
        <w:tc>
          <w:tcPr>
            <w:tcW w:w="708" w:type="dxa"/>
          </w:tcPr>
          <w:p w:rsidR="0070519A" w:rsidRPr="00852C0B" w:rsidRDefault="0070519A" w:rsidP="00771CB2">
            <w:pPr>
              <w:spacing w:line="276" w:lineRule="auto"/>
              <w:jc w:val="center"/>
              <w:rPr>
                <w:rFonts w:ascii="仿宋_GB2312" w:eastAsia="仿宋_GB2312" w:hAnsiTheme="majorEastAsia" w:cs="仿宋"/>
                <w:sz w:val="24"/>
                <w:szCs w:val="24"/>
              </w:rPr>
            </w:pPr>
          </w:p>
        </w:tc>
      </w:tr>
    </w:tbl>
    <w:p w:rsidR="001605B2" w:rsidRPr="00852C0B" w:rsidRDefault="001605B2" w:rsidP="00935576">
      <w:pPr>
        <w:rPr>
          <w:sz w:val="24"/>
          <w:szCs w:val="24"/>
        </w:rPr>
      </w:pPr>
    </w:p>
    <w:sectPr w:rsidR="001605B2" w:rsidRPr="00852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B1"/>
    <w:rsid w:val="00000788"/>
    <w:rsid w:val="00022F96"/>
    <w:rsid w:val="000457B4"/>
    <w:rsid w:val="0006302E"/>
    <w:rsid w:val="000B5B55"/>
    <w:rsid w:val="000C2B4C"/>
    <w:rsid w:val="000E1C2E"/>
    <w:rsid w:val="000F77C7"/>
    <w:rsid w:val="00102762"/>
    <w:rsid w:val="00111A4C"/>
    <w:rsid w:val="001150F9"/>
    <w:rsid w:val="00123F28"/>
    <w:rsid w:val="0014242A"/>
    <w:rsid w:val="001605B2"/>
    <w:rsid w:val="0016131E"/>
    <w:rsid w:val="0018792E"/>
    <w:rsid w:val="001D6122"/>
    <w:rsid w:val="00200547"/>
    <w:rsid w:val="00205479"/>
    <w:rsid w:val="00210642"/>
    <w:rsid w:val="00223278"/>
    <w:rsid w:val="00295951"/>
    <w:rsid w:val="002A195E"/>
    <w:rsid w:val="002F3077"/>
    <w:rsid w:val="003006F0"/>
    <w:rsid w:val="00311BAA"/>
    <w:rsid w:val="003559A1"/>
    <w:rsid w:val="0039066D"/>
    <w:rsid w:val="003F7B8A"/>
    <w:rsid w:val="00417ADB"/>
    <w:rsid w:val="00471E36"/>
    <w:rsid w:val="00485C21"/>
    <w:rsid w:val="004C7029"/>
    <w:rsid w:val="00517903"/>
    <w:rsid w:val="005C0134"/>
    <w:rsid w:val="005C1FF7"/>
    <w:rsid w:val="005D0F25"/>
    <w:rsid w:val="005E0613"/>
    <w:rsid w:val="006452BA"/>
    <w:rsid w:val="006A30B1"/>
    <w:rsid w:val="006B1E0B"/>
    <w:rsid w:val="006B4C46"/>
    <w:rsid w:val="006C3188"/>
    <w:rsid w:val="0070519A"/>
    <w:rsid w:val="00713099"/>
    <w:rsid w:val="00771CB2"/>
    <w:rsid w:val="00772C82"/>
    <w:rsid w:val="0078396A"/>
    <w:rsid w:val="00792BFF"/>
    <w:rsid w:val="007B3D57"/>
    <w:rsid w:val="00814BE9"/>
    <w:rsid w:val="00821C8E"/>
    <w:rsid w:val="008465A8"/>
    <w:rsid w:val="00852C0B"/>
    <w:rsid w:val="00893492"/>
    <w:rsid w:val="0093030B"/>
    <w:rsid w:val="00935576"/>
    <w:rsid w:val="00976438"/>
    <w:rsid w:val="009764D8"/>
    <w:rsid w:val="009A3814"/>
    <w:rsid w:val="009C29E1"/>
    <w:rsid w:val="009C72DD"/>
    <w:rsid w:val="00A01915"/>
    <w:rsid w:val="00A120D3"/>
    <w:rsid w:val="00A66241"/>
    <w:rsid w:val="00A70819"/>
    <w:rsid w:val="00B610CE"/>
    <w:rsid w:val="00B8382A"/>
    <w:rsid w:val="00BC2680"/>
    <w:rsid w:val="00C53E0F"/>
    <w:rsid w:val="00CA3B25"/>
    <w:rsid w:val="00CB22FB"/>
    <w:rsid w:val="00CF57D0"/>
    <w:rsid w:val="00D10F7C"/>
    <w:rsid w:val="00D53436"/>
    <w:rsid w:val="00D54FE0"/>
    <w:rsid w:val="00DD52C7"/>
    <w:rsid w:val="00DF0F79"/>
    <w:rsid w:val="00E158D4"/>
    <w:rsid w:val="00E42C36"/>
    <w:rsid w:val="00E87829"/>
    <w:rsid w:val="00EA4F89"/>
    <w:rsid w:val="00EB433E"/>
    <w:rsid w:val="00ED2D4E"/>
    <w:rsid w:val="00F47D79"/>
    <w:rsid w:val="00F57408"/>
    <w:rsid w:val="00F62A2F"/>
    <w:rsid w:val="00F646F5"/>
    <w:rsid w:val="00F666E9"/>
    <w:rsid w:val="00FA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0519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0519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yangningxue</cp:lastModifiedBy>
  <cp:revision>106</cp:revision>
  <dcterms:created xsi:type="dcterms:W3CDTF">2019-10-09T06:42:00Z</dcterms:created>
  <dcterms:modified xsi:type="dcterms:W3CDTF">2021-10-20T00:41:00Z</dcterms:modified>
</cp:coreProperties>
</file>